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постанови КМУ від 11.10.2016 № 710 «Про ефективне використання державних коштів»)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Процедура закупівлі: </w:t>
      </w:r>
      <w:r>
        <w:rPr>
          <w:sz w:val="22"/>
          <w:szCs w:val="22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з особливостями</w:t>
      </w:r>
      <w:r>
        <w:rPr>
          <w:sz w:val="22"/>
          <w:szCs w:val="22"/>
        </w:rPr>
        <w:t>.</w:t>
      </w:r>
    </w:p>
    <w:p>
      <w:pPr>
        <w:pStyle w:val="Normal"/>
        <w:rPr/>
      </w:pPr>
      <w:r>
        <w:rPr>
          <w:b/>
          <w:sz w:val="22"/>
          <w:szCs w:val="22"/>
        </w:rPr>
        <w:t xml:space="preserve">Назва закупівлі: </w:t>
      </w:r>
      <w:r>
        <w:rPr>
          <w:rStyle w:val="Style15"/>
          <w:lang w:val="uk-UA" w:eastAsia="zh-CN" w:bidi="ar-SA"/>
        </w:rPr>
        <w:t xml:space="preserve">ДК 021:2015 </w:t>
      </w:r>
      <w:r>
        <w:rPr>
          <w:rStyle w:val="Style15"/>
          <w:lang w:val="en-US" w:eastAsia="zh-CN" w:bidi="ar-SA"/>
        </w:rPr>
        <w:t xml:space="preserve">98370000-7 </w:t>
      </w:r>
      <w:r>
        <w:rPr>
          <w:rStyle w:val="Style15"/>
          <w:lang w:val="uk-UA" w:eastAsia="zh-CN" w:bidi="ar-SA"/>
        </w:rPr>
        <w:t>Поховальні та супутні послуги</w:t>
      </w:r>
      <w:r>
        <w:rPr/>
        <w:t>.</w:t>
      </w:r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>
          <w:sz w:val="22"/>
          <w:szCs w:val="22"/>
        </w:rPr>
        <w:t xml:space="preserve">Ідентифікатор закупівлі: </w:t>
      </w:r>
      <w:r>
        <w:rPr>
          <w:sz w:val="22"/>
          <w:szCs w:val="22"/>
          <w:lang w:val="en-US"/>
        </w:rPr>
        <w:t>UA-2023-07-1</w:t>
      </w:r>
      <w:r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-0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09075</w:t>
      </w:r>
      <w:r>
        <w:rPr>
          <w:sz w:val="22"/>
          <w:szCs w:val="22"/>
          <w:lang w:val="en-US"/>
        </w:rPr>
        <w:t>-a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Очікувана вартість предмета закупівлі: 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uk-UA" w:eastAsia="ru-RU" w:bidi="ar-SA"/>
        </w:rPr>
        <w:t xml:space="preserve">1 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en-US" w:eastAsia="ru-RU" w:bidi="ar-SA"/>
        </w:rPr>
        <w:t>700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uk-UA" w:eastAsia="ru-RU" w:bidi="ar-SA"/>
        </w:rPr>
        <w:t xml:space="preserve"> 000</w:t>
      </w:r>
      <w:r>
        <w:rPr>
          <w:rStyle w:val="Style15"/>
          <w:rFonts w:cs="Times New Roman"/>
          <w:b w:val="false"/>
          <w:bCs w:val="false"/>
          <w:iCs/>
          <w:color w:val="000000"/>
          <w:sz w:val="22"/>
          <w:szCs w:val="22"/>
          <w:shd w:fill="FFFFFF" w:val="clear"/>
          <w:lang w:val="uk-UA" w:eastAsia="ru-RU"/>
        </w:rPr>
        <w:t xml:space="preserve">,00 </w:t>
      </w:r>
      <w:r>
        <w:rPr>
          <w:rStyle w:val="Style15"/>
          <w:rFonts w:cs="Times New Roman"/>
          <w:b w:val="false"/>
          <w:bCs w:val="false"/>
          <w:color w:val="000000"/>
          <w:sz w:val="22"/>
          <w:szCs w:val="22"/>
          <w:shd w:fill="FFFFFF" w:val="clear"/>
          <w:lang w:val="uk-UA" w:eastAsia="ru-RU"/>
        </w:rPr>
        <w:t>грн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Обгрунтування розміру бюджетного призначення: </w:t>
      </w:r>
      <w:r>
        <w:rPr>
          <w:sz w:val="22"/>
          <w:szCs w:val="22"/>
        </w:rPr>
        <w:t>розмір бюджетного призначення визначений відповідно до бюджет</w:t>
      </w:r>
      <w:r>
        <w:rPr>
          <w:sz w:val="22"/>
          <w:szCs w:val="22"/>
          <w:lang w:val="uk-UA"/>
        </w:rPr>
        <w:t>у</w:t>
      </w:r>
      <w:r>
        <w:rPr>
          <w:sz w:val="22"/>
          <w:szCs w:val="22"/>
        </w:rPr>
        <w:t xml:space="preserve"> 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3</w:t>
      </w:r>
      <w:r>
        <w:rPr>
          <w:sz w:val="22"/>
          <w:szCs w:val="22"/>
        </w:rPr>
        <w:t xml:space="preserve"> рік;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Обгрунтування  технічних та якісних характеристик предмета закупівлі: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rStyle w:val="2"/>
          <w:rFonts w:eastAsia="Times New Roman"/>
          <w:b/>
          <w:bCs/>
          <w:iCs/>
          <w:sz w:val="22"/>
          <w:szCs w:val="22"/>
        </w:rPr>
        <w:t>До складу послуги входить*: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495" w:type="dxa"/>
        <w:jc w:val="left"/>
        <w:tblInd w:w="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5416"/>
        <w:gridCol w:w="1816"/>
        <w:gridCol w:w="1635"/>
      </w:tblGrid>
      <w:tr>
        <w:trPr/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№</w:t>
            </w: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п/п</w:t>
            </w:r>
          </w:p>
        </w:tc>
        <w:tc>
          <w:tcPr>
            <w:tcW w:w="5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Послуга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Об’єм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2"/>
                <w:szCs w:val="22"/>
              </w:rPr>
              <w:t>Вартість</w:t>
            </w:r>
          </w:p>
        </w:tc>
      </w:tr>
      <w:tr>
        <w:trPr/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1"/>
              <w:widowControl w:val="false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1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Прибирання кладовищ Новий Побут та Горова Білещина</w:t>
            </w:r>
          </w:p>
        </w:tc>
        <w:tc>
          <w:tcPr>
            <w:tcW w:w="18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2</w:t>
            </w: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090</w:t>
            </w:r>
            <w:r>
              <w:rPr>
                <w:sz w:val="22"/>
                <w:szCs w:val="22"/>
              </w:rPr>
              <w:t xml:space="preserve">  год.</w:t>
            </w:r>
          </w:p>
        </w:tc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1"/>
              <w:widowControl w:val="false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2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Вивіз сміття з кладовищ: Новий Побут, Горова Білещина, Сорочинське</w:t>
            </w:r>
          </w:p>
        </w:tc>
        <w:tc>
          <w:tcPr>
            <w:tcW w:w="18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1</w:t>
            </w: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800</w:t>
            </w:r>
            <w:r>
              <w:rPr>
                <w:sz w:val="22"/>
                <w:szCs w:val="22"/>
              </w:rPr>
              <w:t xml:space="preserve">  куб.м.</w:t>
            </w:r>
          </w:p>
        </w:tc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1"/>
              <w:widowControl w:val="false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3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Механі</w:t>
            </w: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зоване</w:t>
            </w:r>
            <w:r>
              <w:rPr>
                <w:sz w:val="22"/>
                <w:szCs w:val="22"/>
              </w:rPr>
              <w:t xml:space="preserve"> навантаження сміття (на кладовищах Новий Побут, Горова Білещина, Сорочинське)</w:t>
            </w:r>
          </w:p>
        </w:tc>
        <w:tc>
          <w:tcPr>
            <w:tcW w:w="18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1</w:t>
            </w: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8</w:t>
            </w:r>
            <w:r>
              <w:rPr>
                <w:sz w:val="22"/>
                <w:szCs w:val="22"/>
              </w:rPr>
              <w:t>00  куб.м.</w:t>
            </w:r>
          </w:p>
        </w:tc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1"/>
              <w:widowControl w:val="false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4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Механізоване</w:t>
            </w:r>
            <w:r>
              <w:rPr>
                <w:color w:val="FF66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розчищення від снігу території кладовищ</w:t>
            </w:r>
          </w:p>
        </w:tc>
        <w:tc>
          <w:tcPr>
            <w:tcW w:w="18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40</w:t>
            </w:r>
            <w:r>
              <w:rPr>
                <w:sz w:val="22"/>
                <w:szCs w:val="22"/>
              </w:rPr>
              <w:t xml:space="preserve">  год.</w:t>
            </w:r>
          </w:p>
        </w:tc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1"/>
              <w:widowControl w:val="false"/>
              <w:rPr>
                <w:rFonts w:ascii="Liberation Serif;Times New Roman" w:hAnsi="Liberation Serif;Times New Roman" w:eastAsia="Lucida Sans Unicode" w:cs="Liberation Serif;Times New Roman"/>
                <w:color w:val="auto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eastAsia="Lucida Sans Unicode" w:cs="Liberation Serif;Times New Roman" w:ascii="Liberation Serif;Times New Roman" w:hAnsi="Liberation Serif;Times New Roman"/>
                <w:color w:val="auto"/>
                <w:kern w:val="2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Поховання самотніх та невпізнаних</w:t>
            </w:r>
          </w:p>
        </w:tc>
        <w:tc>
          <w:tcPr>
            <w:tcW w:w="18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8</w:t>
            </w:r>
            <w:r>
              <w:rPr>
                <w:sz w:val="22"/>
                <w:szCs w:val="22"/>
              </w:rPr>
              <w:t xml:space="preserve">  чол.</w:t>
            </w:r>
          </w:p>
        </w:tc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1"/>
              <w:widowControl w:val="false"/>
              <w:rPr>
                <w:rFonts w:ascii="Liberation Serif;Times New Roman" w:hAnsi="Liberation Serif;Times New Roman" w:eastAsia="Lucida Sans Unicode" w:cs="Liberation Serif;Times New Roman"/>
                <w:color w:val="auto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eastAsia="Lucida Sans Unicode" w:cs="Liberation Serif;Times New Roman" w:ascii="Liberation Serif;Times New Roman" w:hAnsi="Liberation Serif;Times New Roman"/>
                <w:color w:val="auto"/>
                <w:kern w:val="2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Перевезення трупів самотніх та невпізнаних громадян до моргу за замовленням поліції: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 в робочий час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 в позаурочний час</w:t>
            </w:r>
          </w:p>
        </w:tc>
        <w:tc>
          <w:tcPr>
            <w:tcW w:w="18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  <w:p>
            <w:pPr>
              <w:pStyle w:val="Style21"/>
              <w:widowControl w:val="false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9</w:t>
            </w:r>
            <w:r>
              <w:rPr>
                <w:sz w:val="22"/>
                <w:szCs w:val="22"/>
              </w:rPr>
              <w:t xml:space="preserve">  години;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Calibri"/>
                <w:color w:val="auto"/>
                <w:sz w:val="22"/>
                <w:szCs w:val="22"/>
                <w:lang w:val="uk-UA" w:eastAsia="zh-CN" w:bidi="ar-SA"/>
              </w:rPr>
              <w:t>12</w:t>
            </w:r>
            <w:r>
              <w:rPr>
                <w:sz w:val="22"/>
                <w:szCs w:val="22"/>
              </w:rPr>
              <w:t xml:space="preserve">  години.</w:t>
            </w:r>
          </w:p>
        </w:tc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1"/>
              <w:widowControl w:val="false"/>
              <w:rPr>
                <w:rFonts w:ascii="Liberation Serif;Times New Roman" w:hAnsi="Liberation Serif;Times New Roman" w:eastAsia="Lucida Sans Unicode" w:cs="Liberation Serif;Times New Roman"/>
                <w:color w:val="auto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eastAsia="Lucida Sans Unicode" w:cs="Liberation Serif;Times New Roman" w:ascii="Liberation Serif;Times New Roman" w:hAnsi="Liberation Serif;Times New Roman"/>
                <w:color w:val="auto"/>
                <w:kern w:val="2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Поховання загиблих через агресію рф</w:t>
            </w:r>
          </w:p>
        </w:tc>
        <w:tc>
          <w:tcPr>
            <w:tcW w:w="18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40 чол.</w:t>
            </w:r>
          </w:p>
        </w:tc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</w:tc>
      </w:tr>
      <w:tr>
        <w:trPr/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1"/>
              <w:widowControl w:val="false"/>
              <w:rPr>
                <w:rFonts w:ascii="Liberation Serif;Times New Roman" w:hAnsi="Liberation Serif;Times New Roman" w:eastAsia="Lucida Sans Unicode" w:cs="Liberation Serif;Times New Roman"/>
                <w:color w:val="auto"/>
                <w:kern w:val="2"/>
                <w:sz w:val="22"/>
                <w:szCs w:val="22"/>
                <w:lang w:val="en-US" w:eastAsia="zh-CN" w:bidi="hi-IN"/>
              </w:rPr>
            </w:pPr>
            <w:r>
              <w:rPr>
                <w:rFonts w:eastAsia="Lucida Sans Unicode" w:cs="Liberation Serif;Times New Roman" w:ascii="Liberation Serif;Times New Roman" w:hAnsi="Liberation Serif;Times New Roman"/>
                <w:color w:val="auto"/>
                <w:kern w:val="2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54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Перевезення тіл загиблих в місто Прилуки</w:t>
            </w:r>
          </w:p>
        </w:tc>
        <w:tc>
          <w:tcPr>
            <w:tcW w:w="18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  <w:t>20000 км</w:t>
            </w:r>
          </w:p>
        </w:tc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</w:tc>
      </w:tr>
      <w:tr>
        <w:trPr/>
        <w:tc>
          <w:tcPr>
            <w:tcW w:w="785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1"/>
              <w:widowControl w:val="false"/>
              <w:jc w:val="right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2"/>
                <w:szCs w:val="22"/>
              </w:rPr>
              <w:t>ВСЬОГО:</w:t>
            </w:r>
          </w:p>
        </w:tc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rFonts w:ascii="Liberation Serif;Times New Roman" w:hAnsi="Liberation Serif;Times New Roman" w:cs="Liberation Serif;Times New Roman"/>
                <w:sz w:val="22"/>
                <w:szCs w:val="22"/>
              </w:rPr>
            </w:pPr>
            <w:r>
              <w:rPr>
                <w:rFonts w:cs="Liberation Serif;Times New Roman" w:ascii="Liberation Serif;Times New Roman" w:hAnsi="Liberation Serif;Times New Roman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>
          <w:rFonts w:eastAsia="Times New Roman"/>
          <w:color w:val="000000"/>
        </w:rPr>
        <w:t>Крім того, протягом 202</w:t>
      </w:r>
      <w:r>
        <w:rPr>
          <w:rFonts w:eastAsia="Times New Roman" w:cs="Calibri"/>
          <w:color w:val="000000"/>
          <w:sz w:val="24"/>
          <w:szCs w:val="20"/>
          <w:lang w:val="uk-UA" w:eastAsia="zh-CN" w:bidi="ar-SA"/>
        </w:rPr>
        <w:t>3</w:t>
      </w:r>
      <w:r>
        <w:rPr>
          <w:rFonts w:eastAsia="Times New Roman"/>
          <w:color w:val="000000"/>
        </w:rPr>
        <w:t xml:space="preserve"> року Виконавець повинен за власний рахунок забезпечити технічне обслуговування повітряної лінії електропередач напругою 10 тис. вольт протяжністю 1000 м КТП — 51; 10/04 кВ, технічне обслуговування водяної свердловини та водонапірної башти, які знаходяться на території кладовища Горова Білещина, а також забезпечити сплату за використану електроенергію.</w:t>
      </w:r>
    </w:p>
    <w:p>
      <w:pPr>
        <w:pStyle w:val="1"/>
        <w:ind w:left="0" w:right="0" w:firstLine="426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ab/>
        <w:t xml:space="preserve">Ціну пропозиції слід визначати відповідно до вимог технічного завдання щодо термінів закінчення надання робіт/послуг, технології надання робіт/послуг, з дотриманням діючих норм і правил експлуатації техніки і безпечних умов праці. </w:t>
      </w:r>
    </w:p>
    <w:p>
      <w:pPr>
        <w:pStyle w:val="1"/>
        <w:ind w:left="0" w:right="0" w:firstLine="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Вартість пропозиції та всі інші ціни повинні бути чітко визначені. </w:t>
      </w:r>
    </w:p>
    <w:p>
      <w:pPr>
        <w:pStyle w:val="Normal"/>
        <w:jc w:val="both"/>
        <w:rPr>
          <w:sz w:val="22"/>
          <w:szCs w:val="22"/>
        </w:rPr>
      </w:pPr>
      <w:r>
        <w:rPr>
          <w:rStyle w:val="32"/>
          <w:rFonts w:eastAsia="Times New Roman" w:cs="Times New Roman"/>
          <w:b w:val="false"/>
          <w:bCs w:val="false"/>
          <w:iCs/>
          <w:color w:val="000000"/>
          <w:kern w:val="2"/>
          <w:sz w:val="23"/>
          <w:szCs w:val="23"/>
          <w:shd w:fill="FFFFFF" w:val="clear"/>
          <w:lang w:val="uk-UA" w:eastAsia="zh-CN" w:bidi="ar-SA"/>
        </w:rPr>
        <w:tab/>
        <w:t>Пропозиція учасника, в ціну якої включені будь-які витрати, понесені ним у процесі здійснення процедури закупівлі та укладання договору про закупівлю, відхиляється замовником.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eastAsia="Times New Roman" w:cs="Times New Roman"/>
          <w:sz w:val="23"/>
          <w:szCs w:val="23"/>
          <w:lang w:val="uk-UA"/>
        </w:rPr>
        <w:tab/>
        <w:t>Ціна тендерної пропозиції вказується з ПДВ (стосується Учасників, які є платниками ПДВ) та підтверджується відповідними розрахунками.</w:t>
      </w:r>
    </w:p>
    <w:p>
      <w:pPr>
        <w:pStyle w:val="11"/>
        <w:widowControl w:val="false"/>
        <w:spacing w:lineRule="auto" w:line="240"/>
        <w:ind w:left="34" w:right="113" w:firstLine="426"/>
        <w:jc w:val="both"/>
        <w:rPr/>
      </w:pPr>
      <w:r>
        <w:rPr>
          <w:rFonts w:eastAsia="Times New Roman" w:cs="Times New Roman"/>
          <w:color w:val="000000"/>
          <w:sz w:val="23"/>
          <w:szCs w:val="23"/>
          <w:lang w:val="uk-UA"/>
        </w:rPr>
        <w:tab/>
      </w:r>
      <w:r>
        <w:rPr>
          <w:color w:val="000000"/>
          <w:sz w:val="23"/>
          <w:szCs w:val="23"/>
        </w:rPr>
        <w:t xml:space="preserve">Учасник визначений переможцем процедури закупівлі у строк, що не перевищує чотири дні </w:t>
      </w:r>
      <w:r>
        <w:rPr>
          <w:color w:val="000000"/>
          <w:sz w:val="23"/>
          <w:szCs w:val="23"/>
          <w:shd w:fill="FFFFFF" w:val="clear"/>
          <w:lang w:eastAsia="en-US"/>
        </w:rPr>
        <w:t>з дати оприлюднення в електронній системі закупівель повідомлення про намір укласти договір про закупівлю</w:t>
      </w:r>
      <w:r>
        <w:rPr>
          <w:color w:val="000000"/>
          <w:sz w:val="23"/>
          <w:szCs w:val="23"/>
          <w:lang w:eastAsia="en-US"/>
        </w:rPr>
        <w:t xml:space="preserve"> </w:t>
      </w:r>
      <w:r>
        <w:rPr>
          <w:color w:val="000000"/>
          <w:sz w:val="23"/>
          <w:szCs w:val="23"/>
        </w:rPr>
        <w:t>завантажує до електронної системи розрахунок ціни (у форматі pdf) на суму, з якою переміг в електронному аукціоні, виготовленому у відповідності до вимог цього додатку.</w:t>
      </w:r>
    </w:p>
    <w:p>
      <w:pPr>
        <w:pStyle w:val="Normal"/>
        <w:ind w:left="0" w:right="0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Style w:val="32"/>
          <w:sz w:val="22"/>
          <w:szCs w:val="22"/>
        </w:rPr>
        <w:tab/>
        <w:t>Примітка: *У зв</w:t>
      </w:r>
      <w:r>
        <w:rPr>
          <w:rStyle w:val="32"/>
          <w:sz w:val="22"/>
          <w:szCs w:val="22"/>
          <w:lang w:val="ru-RU"/>
        </w:rPr>
        <w:t>'</w:t>
      </w:r>
      <w:r>
        <w:rPr>
          <w:rStyle w:val="32"/>
          <w:sz w:val="22"/>
          <w:szCs w:val="22"/>
        </w:rPr>
        <w:t>язку з тим, що практично неможливо передбачити весь комплекс робіт, які можуть виникнути в ході утримання кладовищ, зазначений перелік та обсяги робіт при наданні послуг не є вичерпним та можуть корегуватися в рамках суми укладеного договору.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Начальник управління житлово-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комунального господарства</w:t>
        <w:tab/>
        <w:tab/>
        <w:tab/>
        <w:tab/>
        <w:tab/>
        <w:tab/>
        <w:t>О.С.Созінов</w:t>
      </w:r>
    </w:p>
    <w:p>
      <w:pPr>
        <w:pStyle w:val="Normal"/>
        <w:ind w:firstLine="690"/>
        <w:jc w:val="center"/>
        <w:rPr>
          <w:sz w:val="26"/>
          <w:szCs w:val="26"/>
        </w:rPr>
      </w:pPr>
      <w:r>
        <w:rPr/>
      </w:r>
    </w:p>
    <w:sectPr>
      <w:type w:val="nextPage"/>
      <w:pgSz w:w="11906" w:h="16838"/>
      <w:pgMar w:left="141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3">
    <w:name w:val="Heading 3"/>
    <w:basedOn w:val="Normal"/>
    <w:next w:val="Style17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Style13">
    <w:name w:val="Интернет-ссылка"/>
    <w:rsid w:val="0052583c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5">
    <w:name w:val="Основной шрифт абзаца"/>
    <w:qFormat/>
    <w:rPr/>
  </w:style>
  <w:style w:type="character" w:styleId="32">
    <w:name w:val="Основной шрифт абзаца3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6"/>
    <w:uiPriority w:val="99"/>
    <w:semiHidden/>
    <w:unhideWhenUsed/>
    <w:rsid w:val="0052583c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1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">
    <w:name w:val="Без интервала1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1">
    <w:name w:val="Обычный1"/>
    <w:qFormat/>
    <w:pPr>
      <w:widowControl w:val="false"/>
      <w:suppressAutoHyphens w:val="true"/>
      <w:overflowPunct w:val="false"/>
      <w:bidi w:val="0"/>
      <w:snapToGrid w:val="false"/>
      <w:spacing w:lineRule="auto" w:line="300" w:before="0" w:after="0"/>
      <w:ind w:left="0" w:right="0" w:firstLine="5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LibreOffice/7.0.4.2$Windows_X86_64 LibreOffice_project/dcf040e67528d9187c66b2379df5ea4407429775</Application>
  <AppVersion>15.0000</AppVersion>
  <Pages>1</Pages>
  <Words>400</Words>
  <Characters>2644</Characters>
  <CharactersWithSpaces>3021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2021-12-03T08:58:00Z</dcterms:created>
  <dc:creator>ugkh5</dc:creator>
  <dc:description/>
  <dc:language>uk-UA</dc:language>
  <cp:lastModifiedBy/>
  <dcterms:modified xsi:type="dcterms:W3CDTF">2023-07-13T15:14:51Z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